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E15F3" w14:textId="1F1EC1D8" w:rsidR="00293D4F" w:rsidRDefault="00293D4F" w:rsidP="00303C90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008844BA" wp14:editId="4B60F8AF">
            <wp:simplePos x="0" y="0"/>
            <wp:positionH relativeFrom="column">
              <wp:posOffset>-323278</wp:posOffset>
            </wp:positionH>
            <wp:positionV relativeFrom="paragraph">
              <wp:posOffset>-306673</wp:posOffset>
            </wp:positionV>
            <wp:extent cx="2362327" cy="1102932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_Colour_Horz_NoTag_Pos_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327" cy="1102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3A25586" wp14:editId="5C5D9915">
            <wp:simplePos x="0" y="0"/>
            <wp:positionH relativeFrom="column">
              <wp:posOffset>2155825</wp:posOffset>
            </wp:positionH>
            <wp:positionV relativeFrom="paragraph">
              <wp:posOffset>87630</wp:posOffset>
            </wp:positionV>
            <wp:extent cx="1397635" cy="457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HHS Victori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6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D4F">
        <w:rPr>
          <w:rFonts w:asciiTheme="majorHAnsi" w:hAnsiTheme="majorHAnsi" w:cs="Helvetica Neue"/>
          <w:b/>
          <w:noProof/>
          <w:color w:val="1A1A1A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36BBB1" wp14:editId="519F03B2">
            <wp:simplePos x="0" y="0"/>
            <wp:positionH relativeFrom="column">
              <wp:posOffset>3489325</wp:posOffset>
            </wp:positionH>
            <wp:positionV relativeFrom="paragraph">
              <wp:posOffset>9525</wp:posOffset>
            </wp:positionV>
            <wp:extent cx="3131185" cy="53403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SP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A9B28" w14:textId="70787191" w:rsidR="00293D4F" w:rsidRPr="00293D4F" w:rsidRDefault="003B4B8F" w:rsidP="00293D4F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 w:cs="Helvetica Neue"/>
          <w:b/>
          <w:color w:val="1A1A1A"/>
          <w:sz w:val="32"/>
          <w:szCs w:val="32"/>
        </w:rPr>
      </w:pP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>Snapshot of Victoria’s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  <w:r w:rsidRPr="003B4B8F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influenza </w:t>
      </w:r>
      <w:r w:rsidR="002155E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season – </w:t>
      </w:r>
      <w:r w:rsidR="00A553A5">
        <w:rPr>
          <w:rFonts w:asciiTheme="majorHAnsi" w:hAnsiTheme="majorHAnsi" w:cs="Helvetica Neue"/>
          <w:b/>
          <w:color w:val="1A1A1A"/>
          <w:sz w:val="32"/>
          <w:szCs w:val="32"/>
        </w:rPr>
        <w:t>11</w:t>
      </w:r>
      <w:r w:rsidR="008705AE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</w:t>
      </w:r>
      <w:proofErr w:type="gramStart"/>
      <w:r w:rsidR="008705AE">
        <w:rPr>
          <w:rFonts w:asciiTheme="majorHAnsi" w:hAnsiTheme="majorHAnsi" w:cs="Helvetica Neue"/>
          <w:b/>
          <w:color w:val="1A1A1A"/>
          <w:sz w:val="32"/>
          <w:szCs w:val="32"/>
        </w:rPr>
        <w:t>August</w:t>
      </w:r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>,</w:t>
      </w:r>
      <w:proofErr w:type="gramEnd"/>
      <w:r w:rsidR="00013DA8">
        <w:rPr>
          <w:rFonts w:asciiTheme="majorHAnsi" w:hAnsiTheme="majorHAnsi" w:cs="Helvetica Neue"/>
          <w:b/>
          <w:color w:val="1A1A1A"/>
          <w:sz w:val="32"/>
          <w:szCs w:val="32"/>
        </w:rPr>
        <w:t xml:space="preserve"> 201</w:t>
      </w:r>
      <w:r w:rsidR="00C65BDE">
        <w:rPr>
          <w:rFonts w:asciiTheme="majorHAnsi" w:hAnsiTheme="majorHAnsi" w:cs="Helvetica Neue"/>
          <w:b/>
          <w:color w:val="1A1A1A"/>
          <w:sz w:val="32"/>
          <w:szCs w:val="32"/>
        </w:rPr>
        <w:t>7</w:t>
      </w:r>
    </w:p>
    <w:p w14:paraId="0903A85F" w14:textId="77777777" w:rsidR="004F69FD" w:rsidRPr="001A63B0" w:rsidRDefault="004F69FD" w:rsidP="004F69FD">
      <w:pPr>
        <w:widowControl w:val="0"/>
        <w:tabs>
          <w:tab w:val="left" w:pos="220"/>
          <w:tab w:val="left" w:pos="284"/>
        </w:tabs>
        <w:autoSpaceDE w:val="0"/>
        <w:autoSpaceDN w:val="0"/>
        <w:adjustRightInd w:val="0"/>
        <w:spacing w:after="120"/>
        <w:rPr>
          <w:rFonts w:asciiTheme="majorHAnsi" w:hAnsiTheme="majorHAnsi" w:cs="Helvetica Neue"/>
          <w:b/>
          <w:color w:val="1A1A1A"/>
          <w:sz w:val="22"/>
          <w:szCs w:val="22"/>
        </w:rPr>
      </w:pPr>
      <w:r w:rsidRPr="001A63B0">
        <w:rPr>
          <w:rFonts w:asciiTheme="majorHAnsi" w:hAnsiTheme="majorHAnsi" w:cs="Helvetica Neue"/>
          <w:b/>
          <w:color w:val="1A1A1A"/>
          <w:sz w:val="22"/>
          <w:szCs w:val="22"/>
        </w:rPr>
        <w:t>Key points</w:t>
      </w:r>
    </w:p>
    <w:p w14:paraId="043884D8" w14:textId="04F3E958" w:rsidR="00303C90" w:rsidRPr="00F07446" w:rsidRDefault="002155EE" w:rsidP="00F07446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B0281A">
        <w:rPr>
          <w:rFonts w:asciiTheme="majorHAnsi" w:hAnsiTheme="majorHAnsi"/>
          <w:sz w:val="22"/>
          <w:szCs w:val="22"/>
        </w:rPr>
        <w:t xml:space="preserve">As at </w:t>
      </w:r>
      <w:r w:rsidR="005D75C1">
        <w:rPr>
          <w:rFonts w:asciiTheme="majorHAnsi" w:hAnsiTheme="majorHAnsi"/>
          <w:sz w:val="22"/>
          <w:szCs w:val="22"/>
        </w:rPr>
        <w:t>6 August</w:t>
      </w:r>
      <w:r w:rsidR="00303C90" w:rsidRPr="00B0281A">
        <w:rPr>
          <w:rFonts w:asciiTheme="majorHAnsi" w:hAnsiTheme="majorHAnsi"/>
          <w:sz w:val="22"/>
          <w:szCs w:val="22"/>
        </w:rPr>
        <w:t>, influenza-like illness (ILI) activity in the community</w:t>
      </w:r>
      <w:r w:rsidR="00B0281A" w:rsidRPr="00B0281A">
        <w:rPr>
          <w:rFonts w:asciiTheme="majorHAnsi" w:hAnsiTheme="majorHAnsi"/>
          <w:sz w:val="22"/>
          <w:szCs w:val="22"/>
        </w:rPr>
        <w:t xml:space="preserve"> </w:t>
      </w:r>
      <w:r w:rsidR="00F07446">
        <w:rPr>
          <w:rFonts w:asciiTheme="majorHAnsi" w:hAnsiTheme="majorHAnsi"/>
          <w:sz w:val="22"/>
          <w:szCs w:val="22"/>
        </w:rPr>
        <w:t xml:space="preserve">and notified cases </w:t>
      </w:r>
      <w:r w:rsidR="00C65BDE">
        <w:rPr>
          <w:rFonts w:asciiTheme="majorHAnsi" w:hAnsiTheme="majorHAnsi"/>
          <w:sz w:val="22"/>
          <w:szCs w:val="22"/>
        </w:rPr>
        <w:t>were increasing</w:t>
      </w:r>
      <w:r w:rsidR="00862E6D">
        <w:rPr>
          <w:rFonts w:asciiTheme="majorHAnsi" w:hAnsiTheme="majorHAnsi"/>
          <w:sz w:val="22"/>
          <w:szCs w:val="22"/>
        </w:rPr>
        <w:t xml:space="preserve">, indicating the influenza season </w:t>
      </w:r>
      <w:r w:rsidR="00DE2D3A">
        <w:rPr>
          <w:rFonts w:asciiTheme="majorHAnsi" w:hAnsiTheme="majorHAnsi"/>
          <w:sz w:val="22"/>
          <w:szCs w:val="22"/>
        </w:rPr>
        <w:t xml:space="preserve">is </w:t>
      </w:r>
      <w:r w:rsidR="00D440C2">
        <w:rPr>
          <w:rFonts w:asciiTheme="majorHAnsi" w:hAnsiTheme="majorHAnsi"/>
          <w:sz w:val="22"/>
          <w:szCs w:val="22"/>
        </w:rPr>
        <w:t xml:space="preserve">well </w:t>
      </w:r>
      <w:r w:rsidR="00DE2D3A">
        <w:rPr>
          <w:rFonts w:asciiTheme="majorHAnsi" w:hAnsiTheme="majorHAnsi"/>
          <w:sz w:val="22"/>
          <w:szCs w:val="22"/>
        </w:rPr>
        <w:t>underway</w:t>
      </w:r>
      <w:r w:rsidR="00862E6D">
        <w:rPr>
          <w:rFonts w:asciiTheme="majorHAnsi" w:hAnsiTheme="majorHAnsi"/>
          <w:sz w:val="22"/>
          <w:szCs w:val="22"/>
        </w:rPr>
        <w:t xml:space="preserve"> in Victoria</w:t>
      </w:r>
      <w:r w:rsidR="00303C90" w:rsidRPr="00B0281A">
        <w:rPr>
          <w:rFonts w:asciiTheme="majorHAnsi" w:hAnsiTheme="majorHAnsi"/>
          <w:sz w:val="22"/>
          <w:szCs w:val="22"/>
        </w:rPr>
        <w:t>.</w:t>
      </w:r>
    </w:p>
    <w:p w14:paraId="271F73B5" w14:textId="197366F1" w:rsidR="00013DA8" w:rsidRPr="004C4FEA" w:rsidRDefault="00862E6D" w:rsidP="00013DA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4C4FEA">
        <w:rPr>
          <w:rFonts w:asciiTheme="majorHAnsi" w:hAnsiTheme="majorHAnsi"/>
          <w:sz w:val="22"/>
          <w:szCs w:val="22"/>
          <w:lang w:val="en-AU"/>
        </w:rPr>
        <w:t xml:space="preserve">The increase in cases to mark the start of the season occurred earlier this year (late June) </w:t>
      </w:r>
      <w:r w:rsidR="004C4FEA">
        <w:rPr>
          <w:rFonts w:asciiTheme="majorHAnsi" w:hAnsiTheme="majorHAnsi"/>
          <w:sz w:val="22"/>
          <w:szCs w:val="22"/>
          <w:lang w:val="en-AU"/>
        </w:rPr>
        <w:t>compared to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last year (early August)</w:t>
      </w:r>
      <w:r w:rsidR="009700B7" w:rsidRPr="004C4FEA">
        <w:rPr>
          <w:rFonts w:asciiTheme="majorHAnsi" w:hAnsiTheme="majorHAnsi"/>
          <w:sz w:val="22"/>
          <w:szCs w:val="22"/>
          <w:lang w:val="en-AU"/>
        </w:rPr>
        <w:t>.</w:t>
      </w:r>
      <w:r w:rsidRPr="004C4FEA">
        <w:rPr>
          <w:rFonts w:asciiTheme="majorHAnsi" w:hAnsiTheme="majorHAnsi"/>
          <w:sz w:val="22"/>
          <w:szCs w:val="22"/>
          <w:lang w:val="en-AU"/>
        </w:rPr>
        <w:t xml:space="preserve"> As a result, t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 xml:space="preserve">he number of </w:t>
      </w:r>
      <w:r w:rsidR="00DE2D3A">
        <w:rPr>
          <w:rFonts w:asciiTheme="majorHAnsi" w:hAnsiTheme="majorHAnsi"/>
          <w:sz w:val="22"/>
          <w:szCs w:val="22"/>
          <w:lang w:val="en-AU"/>
        </w:rPr>
        <w:t>c</w:t>
      </w:r>
      <w:r w:rsidR="005A5924">
        <w:rPr>
          <w:rFonts w:asciiTheme="majorHAnsi" w:hAnsiTheme="majorHAnsi"/>
          <w:sz w:val="22"/>
          <w:szCs w:val="22"/>
          <w:lang w:val="en-AU"/>
        </w:rPr>
        <w:t>ases notified year-to-date is 1</w:t>
      </w:r>
      <w:r w:rsidR="005D75C1">
        <w:rPr>
          <w:rFonts w:asciiTheme="majorHAnsi" w:hAnsiTheme="majorHAnsi"/>
          <w:sz w:val="22"/>
          <w:szCs w:val="22"/>
          <w:lang w:val="en-AU"/>
        </w:rPr>
        <w:t>71</w:t>
      </w:r>
      <w:r w:rsidR="004C4FEA" w:rsidRPr="004C4FEA">
        <w:rPr>
          <w:rFonts w:asciiTheme="majorHAnsi" w:hAnsiTheme="majorHAnsi"/>
          <w:sz w:val="22"/>
          <w:szCs w:val="22"/>
          <w:lang w:val="en-AU"/>
        </w:rPr>
        <w:t>% higher than at the same time last year.</w:t>
      </w:r>
    </w:p>
    <w:p w14:paraId="556D5F6B" w14:textId="76F55E4A" w:rsidR="00F07446" w:rsidRPr="00862E6D" w:rsidRDefault="00862E6D" w:rsidP="00862E6D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862E6D">
        <w:rPr>
          <w:rFonts w:asciiTheme="majorHAnsi" w:hAnsiTheme="majorHAnsi"/>
          <w:sz w:val="22"/>
          <w:szCs w:val="22"/>
          <w:lang w:val="en-AU"/>
        </w:rPr>
        <w:t xml:space="preserve">Whilst the 2017 season has commenced earlier than last year, it is </w:t>
      </w:r>
      <w:bookmarkStart w:id="0" w:name="_GoBack"/>
      <w:bookmarkEnd w:id="0"/>
      <w:r w:rsidRPr="00862E6D">
        <w:rPr>
          <w:rFonts w:asciiTheme="majorHAnsi" w:hAnsiTheme="majorHAnsi"/>
          <w:sz w:val="22"/>
          <w:szCs w:val="22"/>
          <w:lang w:val="en-AU"/>
        </w:rPr>
        <w:t xml:space="preserve">too early to say whether it will be </w:t>
      </w:r>
      <w:r w:rsidR="003432CB">
        <w:rPr>
          <w:rFonts w:asciiTheme="majorHAnsi" w:hAnsiTheme="majorHAnsi"/>
          <w:sz w:val="22"/>
          <w:szCs w:val="22"/>
          <w:lang w:val="en-AU"/>
        </w:rPr>
        <w:t>of greater magnitude</w:t>
      </w:r>
      <w:r w:rsidR="0054168A" w:rsidRPr="00862E6D">
        <w:rPr>
          <w:rFonts w:asciiTheme="majorHAnsi" w:hAnsiTheme="majorHAnsi"/>
          <w:sz w:val="22"/>
          <w:szCs w:val="22"/>
          <w:lang w:val="en-AU"/>
        </w:rPr>
        <w:t>.</w:t>
      </w:r>
    </w:p>
    <w:p w14:paraId="56087FE1" w14:textId="77777777" w:rsidR="00303C90" w:rsidRPr="00303C90" w:rsidRDefault="00303C90" w:rsidP="00303C90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14:paraId="4D81023F" w14:textId="24C92A22" w:rsidR="00013DA8" w:rsidRPr="001A63B0" w:rsidRDefault="00013DA8" w:rsidP="00013DA8">
      <w:pPr>
        <w:rPr>
          <w:rFonts w:asciiTheme="majorHAnsi" w:hAnsiTheme="majorHAnsi"/>
          <w:sz w:val="22"/>
          <w:szCs w:val="22"/>
        </w:rPr>
      </w:pPr>
      <w:r w:rsidRPr="001A63B0">
        <w:rPr>
          <w:rFonts w:asciiTheme="majorHAnsi" w:hAnsiTheme="majorHAnsi"/>
          <w:sz w:val="22"/>
          <w:szCs w:val="22"/>
        </w:rPr>
        <w:t>The following figure and table compare the main findings from the</w:t>
      </w:r>
      <w:r w:rsidR="00B04960" w:rsidRPr="001A63B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B04960" w:rsidRPr="001A63B0">
        <w:rPr>
          <w:rFonts w:asciiTheme="majorHAnsi" w:hAnsiTheme="majorHAnsi"/>
          <w:sz w:val="22"/>
          <w:szCs w:val="22"/>
        </w:rPr>
        <w:t>notifiable</w:t>
      </w:r>
      <w:proofErr w:type="spellEnd"/>
      <w:r w:rsidR="00B04960" w:rsidRPr="001A63B0">
        <w:rPr>
          <w:rFonts w:asciiTheme="majorHAnsi" w:hAnsiTheme="majorHAnsi"/>
          <w:sz w:val="22"/>
          <w:szCs w:val="22"/>
        </w:rPr>
        <w:t xml:space="preserve"> disease and GP sentinel </w:t>
      </w:r>
      <w:r w:rsidRPr="001A63B0">
        <w:rPr>
          <w:rFonts w:asciiTheme="majorHAnsi" w:hAnsiTheme="majorHAnsi"/>
          <w:sz w:val="22"/>
          <w:szCs w:val="22"/>
        </w:rPr>
        <w:t>surveillance systems for this year and last year.</w:t>
      </w:r>
    </w:p>
    <w:p w14:paraId="2241C5E1" w14:textId="0200660B" w:rsidR="00013DA8" w:rsidRPr="001A63B0" w:rsidRDefault="00013DA8" w:rsidP="00013DA8">
      <w:pPr>
        <w:widowControl w:val="0"/>
        <w:spacing w:before="240" w:after="120"/>
        <w:outlineLvl w:val="3"/>
        <w:rPr>
          <w:rFonts w:asciiTheme="majorHAnsi" w:hAnsiTheme="majorHAnsi"/>
          <w:i/>
          <w:color w:val="000090"/>
          <w:sz w:val="22"/>
          <w:szCs w:val="22"/>
          <w:lang w:val="en-AU"/>
        </w:rPr>
      </w:pP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Figure. Routinely notified influenza cases and VicSPIN influenza-like illness (ILI) consultation proportion in Victoria, 201</w:t>
      </w:r>
      <w:r w:rsidR="00C65BDE">
        <w:rPr>
          <w:rFonts w:asciiTheme="majorHAnsi" w:hAnsiTheme="majorHAnsi"/>
          <w:i/>
          <w:color w:val="000090"/>
          <w:sz w:val="22"/>
          <w:szCs w:val="22"/>
          <w:lang w:val="en-AU"/>
        </w:rPr>
        <w:t>6-2017</w:t>
      </w:r>
      <w:r w:rsidRPr="008B278A">
        <w:rPr>
          <w:rFonts w:asciiTheme="majorHAnsi" w:hAnsiTheme="majorHAnsi"/>
          <w:i/>
          <w:color w:val="000090"/>
          <w:sz w:val="22"/>
          <w:szCs w:val="22"/>
          <w:lang w:val="en-AU"/>
        </w:rPr>
        <w:t>.</w:t>
      </w:r>
    </w:p>
    <w:p w14:paraId="5E9A7279" w14:textId="0EA22E83" w:rsidR="00303C90" w:rsidRPr="00013DA8" w:rsidRDefault="00303C90" w:rsidP="00303C90">
      <w:pPr>
        <w:keepNext/>
        <w:spacing w:before="120" w:after="120"/>
        <w:outlineLvl w:val="3"/>
        <w:rPr>
          <w:rFonts w:ascii="Calibri" w:hAnsi="Calibri" w:cs="Arial"/>
          <w:b/>
          <w:color w:val="000090"/>
          <w:sz w:val="26"/>
          <w:szCs w:val="26"/>
          <w:lang w:val="en-AU"/>
        </w:rPr>
      </w:pPr>
      <w:r w:rsidRPr="00FC6234">
        <w:rPr>
          <w:noProof/>
        </w:rPr>
        <w:drawing>
          <wp:inline distT="0" distB="0" distL="0" distR="0" wp14:anchorId="56A69C8D" wp14:editId="41ABAF00">
            <wp:extent cx="6513618" cy="396938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013DA8">
        <w:rPr>
          <w:rFonts w:asciiTheme="majorHAnsi" w:hAnsiTheme="majorHAnsi"/>
          <w:i/>
          <w:color w:val="000090"/>
          <w:lang w:val="en-AU"/>
        </w:rPr>
        <w:t>Table. Comparison of notified cases of influenza and influenza</w:t>
      </w:r>
      <w:r w:rsidR="002155EE">
        <w:rPr>
          <w:rFonts w:asciiTheme="majorHAnsi" w:hAnsiTheme="majorHAnsi"/>
          <w:i/>
          <w:color w:val="000090"/>
          <w:lang w:val="en-AU"/>
        </w:rPr>
        <w:t xml:space="preserve">-like illness for week ending </w:t>
      </w:r>
      <w:r w:rsidR="005D75C1">
        <w:rPr>
          <w:rFonts w:asciiTheme="majorHAnsi" w:hAnsiTheme="majorHAnsi"/>
          <w:i/>
          <w:color w:val="000090"/>
          <w:lang w:val="en-AU"/>
        </w:rPr>
        <w:t>6 August</w:t>
      </w:r>
      <w:r w:rsidR="002155EE">
        <w:rPr>
          <w:rFonts w:asciiTheme="majorHAnsi" w:hAnsiTheme="majorHAnsi"/>
          <w:i/>
          <w:color w:val="000090"/>
          <w:lang w:val="en-AU"/>
        </w:rPr>
        <w:t xml:space="preserve"> (week </w:t>
      </w:r>
      <w:r w:rsidR="005D75C1">
        <w:rPr>
          <w:rFonts w:asciiTheme="majorHAnsi" w:hAnsiTheme="majorHAnsi"/>
          <w:i/>
          <w:color w:val="000090"/>
          <w:lang w:val="en-AU"/>
        </w:rPr>
        <w:t>31</w:t>
      </w:r>
      <w:r w:rsidR="00875FD8">
        <w:rPr>
          <w:rFonts w:asciiTheme="majorHAnsi" w:hAnsiTheme="majorHAnsi"/>
          <w:i/>
          <w:color w:val="000090"/>
          <w:lang w:val="en-AU"/>
        </w:rPr>
        <w:t>)</w:t>
      </w:r>
      <w:r w:rsidRPr="00013DA8">
        <w:rPr>
          <w:rFonts w:asciiTheme="majorHAnsi" w:hAnsiTheme="majorHAnsi"/>
          <w:i/>
          <w:color w:val="000090"/>
          <w:lang w:val="en-AU"/>
        </w:rPr>
        <w:t xml:space="preserve"> in 201</w:t>
      </w:r>
      <w:r w:rsidR="00C65BDE">
        <w:rPr>
          <w:rFonts w:asciiTheme="majorHAnsi" w:hAnsiTheme="majorHAnsi"/>
          <w:i/>
          <w:color w:val="000090"/>
          <w:lang w:val="en-AU"/>
        </w:rPr>
        <w:t>6 and 2017</w:t>
      </w:r>
      <w:r w:rsidRPr="00013DA8">
        <w:rPr>
          <w:rFonts w:asciiTheme="majorHAnsi" w:hAnsiTheme="majorHAnsi"/>
          <w:i/>
          <w:color w:val="000090"/>
          <w:lang w:val="en-AU"/>
        </w:rPr>
        <w:t>.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  <w:gridCol w:w="1701"/>
      </w:tblGrid>
      <w:tr w:rsidR="00303C90" w:rsidRPr="00EC3BE3" w14:paraId="2F9F35E5" w14:textId="77777777" w:rsidTr="00A12EB8">
        <w:tc>
          <w:tcPr>
            <w:tcW w:w="6345" w:type="dxa"/>
            <w:tcBorders>
              <w:top w:val="single" w:sz="12" w:space="0" w:color="auto"/>
              <w:bottom w:val="single" w:sz="12" w:space="0" w:color="auto"/>
            </w:tcBorders>
          </w:tcPr>
          <w:p w14:paraId="66267C6C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6D802DB9" w14:textId="22B6F854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C65BDE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69670106" w14:textId="15632325" w:rsidR="00303C90" w:rsidRPr="00D57503" w:rsidRDefault="00303C90" w:rsidP="00C65BDE">
            <w:pPr>
              <w:jc w:val="center"/>
              <w:rPr>
                <w:rFonts w:asciiTheme="majorHAnsi" w:hAnsiTheme="majorHAnsi"/>
                <w:b/>
              </w:rPr>
            </w:pPr>
            <w:r w:rsidRPr="00D57503">
              <w:rPr>
                <w:rFonts w:asciiTheme="majorHAnsi" w:hAnsiTheme="majorHAnsi"/>
                <w:b/>
              </w:rPr>
              <w:t>201</w:t>
            </w:r>
            <w:r w:rsidR="00C65BDE">
              <w:rPr>
                <w:rFonts w:asciiTheme="majorHAnsi" w:hAnsiTheme="majorHAnsi"/>
                <w:b/>
              </w:rPr>
              <w:t>6</w:t>
            </w:r>
          </w:p>
        </w:tc>
      </w:tr>
      <w:tr w:rsidR="00303C90" w:rsidRPr="00EC3BE3" w14:paraId="399F514A" w14:textId="77777777" w:rsidTr="00A12EB8">
        <w:tc>
          <w:tcPr>
            <w:tcW w:w="6345" w:type="dxa"/>
            <w:tcBorders>
              <w:top w:val="single" w:sz="12" w:space="0" w:color="auto"/>
              <w:bottom w:val="single" w:sz="4" w:space="0" w:color="auto"/>
            </w:tcBorders>
          </w:tcPr>
          <w:p w14:paraId="09E36F8E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week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14:paraId="753B5A7F" w14:textId="5C6D15F6" w:rsidR="00303C90" w:rsidRPr="00EC3BE3" w:rsidRDefault="005D75C1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650*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010BB805" w14:textId="4C8CFF02" w:rsidR="00303C90" w:rsidRPr="00EC3BE3" w:rsidRDefault="008705AE" w:rsidP="005D7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="005D75C1">
              <w:rPr>
                <w:rFonts w:asciiTheme="majorHAnsi" w:hAnsiTheme="majorHAnsi"/>
              </w:rPr>
              <w:t>36</w:t>
            </w:r>
          </w:p>
        </w:tc>
      </w:tr>
      <w:tr w:rsidR="00303C90" w:rsidRPr="00EC3BE3" w14:paraId="53E48AB8" w14:textId="77777777" w:rsidTr="00A12EB8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2FFE4393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 w:rsidRPr="00EC3BE3">
              <w:rPr>
                <w:rFonts w:asciiTheme="majorHAnsi" w:hAnsiTheme="majorHAnsi"/>
              </w:rPr>
              <w:t xml:space="preserve">Number of notified </w:t>
            </w:r>
            <w:r>
              <w:rPr>
                <w:rFonts w:asciiTheme="majorHAnsi" w:hAnsiTheme="majorHAnsi"/>
              </w:rPr>
              <w:t xml:space="preserve">influenza </w:t>
            </w:r>
            <w:r w:rsidRPr="00EC3BE3">
              <w:rPr>
                <w:rFonts w:asciiTheme="majorHAnsi" w:hAnsiTheme="majorHAnsi"/>
              </w:rPr>
              <w:t>cases for the year-to-date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8732C7A" w14:textId="546DE967" w:rsidR="00303C90" w:rsidRPr="00EC3BE3" w:rsidRDefault="005D75C1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7,663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7E2881" w14:textId="6D562DB7" w:rsidR="00303C90" w:rsidRPr="00EC3BE3" w:rsidRDefault="00C20911" w:rsidP="005D75C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2,</w:t>
            </w:r>
            <w:r w:rsidR="005D75C1">
              <w:rPr>
                <w:rFonts w:asciiTheme="majorHAnsi" w:hAnsiTheme="majorHAnsi"/>
              </w:rPr>
              <w:t>827</w:t>
            </w:r>
          </w:p>
        </w:tc>
      </w:tr>
      <w:tr w:rsidR="00303C90" w:rsidRPr="00EC3BE3" w14:paraId="0142250C" w14:textId="77777777" w:rsidTr="00A12EB8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14:paraId="01AA94FB" w14:textId="77777777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ILI</w:t>
            </w:r>
            <w:r w:rsidRPr="00EC3BE3">
              <w:rPr>
                <w:rFonts w:asciiTheme="majorHAnsi" w:hAnsiTheme="majorHAnsi"/>
              </w:rPr>
              <w:t xml:space="preserve"> proportion for the week</w:t>
            </w:r>
            <w:r>
              <w:rPr>
                <w:rFonts w:asciiTheme="majorHAnsi" w:hAnsiTheme="majorHAnsi"/>
              </w:rPr>
              <w:t xml:space="preserve"> (per 1,000 patients)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8221663" w14:textId="5ABAB52D" w:rsidR="00303C90" w:rsidRPr="00EC3BE3" w:rsidRDefault="00EE3322" w:rsidP="00F07446">
            <w:pPr>
              <w:jc w:val="center"/>
              <w:rPr>
                <w:rFonts w:asciiTheme="majorHAnsi" w:hAnsiTheme="majorHAnsi"/>
              </w:rPr>
            </w:pPr>
            <w:r w:rsidRPr="00C05CA5">
              <w:rPr>
                <w:rFonts w:asciiTheme="majorHAnsi" w:hAnsiTheme="majorHAnsi"/>
              </w:rPr>
              <w:t>7.</w:t>
            </w:r>
            <w:r w:rsidR="00C05CA5" w:rsidRPr="00C05CA5">
              <w:rPr>
                <w:rFonts w:asciiTheme="majorHAnsi" w:hAnsiTheme="majorHAnsi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C18619" w14:textId="4C510D03" w:rsidR="00875FD8" w:rsidRPr="00EC3BE3" w:rsidRDefault="005D75C1" w:rsidP="00875FD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</w:t>
            </w:r>
          </w:p>
        </w:tc>
      </w:tr>
      <w:tr w:rsidR="00303C90" w:rsidRPr="00EC3BE3" w14:paraId="02CB91D7" w14:textId="77777777" w:rsidTr="00A12EB8">
        <w:tc>
          <w:tcPr>
            <w:tcW w:w="6345" w:type="dxa"/>
            <w:tcBorders>
              <w:top w:val="single" w:sz="4" w:space="0" w:color="auto"/>
            </w:tcBorders>
          </w:tcPr>
          <w:p w14:paraId="6193FBE3" w14:textId="67D5F1DE" w:rsidR="00303C90" w:rsidRPr="00EC3BE3" w:rsidRDefault="00303C90" w:rsidP="00A12E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Peak ILI proportion observed for the year (per 1,000 patients)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05331058" w14:textId="47C55D3C" w:rsidR="00303C90" w:rsidRPr="00EC3BE3" w:rsidRDefault="00C20911" w:rsidP="00CE500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7.8</w:t>
            </w:r>
            <w:r w:rsidR="00303C90">
              <w:rPr>
                <w:rFonts w:asciiTheme="majorHAnsi" w:hAnsiTheme="majorHAnsi"/>
              </w:rPr>
              <w:t xml:space="preserve"> (week </w:t>
            </w:r>
            <w:r>
              <w:rPr>
                <w:rFonts w:asciiTheme="majorHAnsi" w:hAnsiTheme="majorHAnsi"/>
              </w:rPr>
              <w:t>29</w:t>
            </w:r>
            <w:r w:rsidR="00C05CA5">
              <w:rPr>
                <w:rFonts w:asciiTheme="majorHAnsi" w:hAnsiTheme="majorHAnsi"/>
              </w:rPr>
              <w:t xml:space="preserve"> and 31</w:t>
            </w:r>
            <w:r w:rsidR="00303C90">
              <w:rPr>
                <w:rFonts w:asciiTheme="majorHAnsi" w:hAnsiTheme="majorHAnsi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306B146" w14:textId="5652A9BE" w:rsidR="00303C90" w:rsidRPr="00EC3BE3" w:rsidRDefault="00CE5006" w:rsidP="00A12E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8.1 (week 31</w:t>
            </w:r>
            <w:r w:rsidR="00303C90">
              <w:rPr>
                <w:rFonts w:asciiTheme="majorHAnsi" w:hAnsiTheme="majorHAnsi"/>
              </w:rPr>
              <w:t>)</w:t>
            </w:r>
          </w:p>
        </w:tc>
      </w:tr>
    </w:tbl>
    <w:p w14:paraId="3628A4EF" w14:textId="77777777" w:rsidR="00B0281A" w:rsidRDefault="00B0281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E1CEFEC" w14:textId="313E17ED" w:rsidR="004E0E03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Victoria experiences an influenza season each year. Most cases are usually reported between June and September, but the </w:t>
      </w:r>
      <w:r w:rsidR="00F90C93">
        <w:rPr>
          <w:rFonts w:asciiTheme="majorHAnsi" w:hAnsiTheme="majorHAnsi"/>
        </w:rPr>
        <w:t>commencement, duration</w:t>
      </w:r>
      <w:r>
        <w:rPr>
          <w:rFonts w:asciiTheme="majorHAnsi" w:hAnsiTheme="majorHAnsi"/>
        </w:rPr>
        <w:t xml:space="preserve"> and size of each season var</w:t>
      </w:r>
      <w:r w:rsidR="00F90C93">
        <w:rPr>
          <w:rFonts w:asciiTheme="majorHAnsi" w:hAnsiTheme="majorHAnsi"/>
        </w:rPr>
        <w:t>ies</w:t>
      </w:r>
      <w:r>
        <w:rPr>
          <w:rFonts w:asciiTheme="majorHAnsi" w:hAnsiTheme="majorHAnsi"/>
        </w:rPr>
        <w:t xml:space="preserve"> from year to year.</w:t>
      </w:r>
    </w:p>
    <w:p w14:paraId="5249207D" w14:textId="2A1BB151" w:rsidR="00833D21" w:rsidRDefault="004E0E03" w:rsidP="002031C5">
      <w:pPr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Epidemiologists and virologists </w:t>
      </w:r>
      <w:r w:rsidR="00833D21">
        <w:rPr>
          <w:rFonts w:asciiTheme="majorHAnsi" w:hAnsiTheme="majorHAnsi"/>
        </w:rPr>
        <w:t xml:space="preserve">at </w:t>
      </w:r>
      <w:r w:rsidR="00F90C93">
        <w:rPr>
          <w:rFonts w:asciiTheme="majorHAnsi" w:hAnsiTheme="majorHAnsi"/>
        </w:rPr>
        <w:t>The Royal Melbourne Hospital’s</w:t>
      </w:r>
      <w:r>
        <w:rPr>
          <w:rFonts w:asciiTheme="majorHAnsi" w:hAnsiTheme="majorHAnsi"/>
        </w:rPr>
        <w:t xml:space="preserve"> Victorian Infectious Diseases Reference Laboratory </w:t>
      </w:r>
      <w:r w:rsidR="00833D21">
        <w:rPr>
          <w:rFonts w:asciiTheme="majorHAnsi" w:hAnsiTheme="majorHAnsi"/>
        </w:rPr>
        <w:t xml:space="preserve">(VIDRL) </w:t>
      </w:r>
      <w:r w:rsidR="00F90C93">
        <w:rPr>
          <w:rFonts w:asciiTheme="majorHAnsi" w:hAnsiTheme="majorHAnsi"/>
        </w:rPr>
        <w:t xml:space="preserve">at </w:t>
      </w:r>
      <w:r>
        <w:rPr>
          <w:rFonts w:asciiTheme="majorHAnsi" w:hAnsiTheme="majorHAnsi"/>
        </w:rPr>
        <w:t>the Doherty Institute, in partnership with the Victorian Government Department of Health and Human Services, conduct surveillance to monitor influenza activity in Victoria.</w:t>
      </w:r>
    </w:p>
    <w:p w14:paraId="6F027F04" w14:textId="77777777" w:rsidR="002501A7" w:rsidRDefault="00833D2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page describes the key features of the surveillance for influenza-like illness </w:t>
      </w:r>
      <w:r w:rsidR="002501A7">
        <w:rPr>
          <w:rFonts w:asciiTheme="majorHAnsi" w:hAnsiTheme="majorHAnsi"/>
        </w:rPr>
        <w:t>collected from two sources:</w:t>
      </w:r>
    </w:p>
    <w:p w14:paraId="3DE8F802" w14:textId="5FF07175" w:rsidR="002501A7" w:rsidRPr="002501A7" w:rsidRDefault="002501A7" w:rsidP="002501A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proofErr w:type="spellStart"/>
      <w:r w:rsidRPr="002501A7">
        <w:rPr>
          <w:rFonts w:asciiTheme="majorHAnsi" w:hAnsiTheme="majorHAnsi"/>
          <w:i/>
        </w:rPr>
        <w:t>Notifiable</w:t>
      </w:r>
      <w:proofErr w:type="spellEnd"/>
      <w:r w:rsidRPr="002501A7">
        <w:rPr>
          <w:rFonts w:asciiTheme="majorHAnsi" w:hAnsiTheme="majorHAnsi"/>
          <w:i/>
        </w:rPr>
        <w:t xml:space="preserve"> disease surveillance</w:t>
      </w:r>
      <w:r w:rsidRPr="002501A7">
        <w:rPr>
          <w:rFonts w:asciiTheme="majorHAnsi" w:hAnsiTheme="majorHAnsi"/>
        </w:rPr>
        <w:t xml:space="preserve"> is conducted by the Victorian Government Department of Health and Human Services. All cases of laboratory confirmed influenza diagnosed by doctors or laboratories in Victoria must be notified to the department.</w:t>
      </w:r>
      <w:r w:rsidR="00751B26">
        <w:rPr>
          <w:rFonts w:asciiTheme="majorHAnsi" w:hAnsiTheme="majorHAnsi"/>
        </w:rPr>
        <w:t xml:space="preserve"> </w:t>
      </w:r>
      <w:r w:rsidR="005D75C1">
        <w:rPr>
          <w:rFonts w:asciiTheme="majorHAnsi" w:hAnsiTheme="majorHAnsi"/>
        </w:rPr>
        <w:t>*</w:t>
      </w:r>
      <w:r w:rsidR="00751B26">
        <w:rPr>
          <w:rFonts w:asciiTheme="majorHAnsi" w:hAnsiTheme="majorHAnsi"/>
        </w:rPr>
        <w:t>Numbers reported may vary from week-to-week as notifications data are updated.</w:t>
      </w:r>
    </w:p>
    <w:p w14:paraId="5B36BA5E" w14:textId="4E4368B7" w:rsidR="00C72B9C" w:rsidRPr="002501A7" w:rsidRDefault="002501A7" w:rsidP="002031C5">
      <w:pPr>
        <w:pStyle w:val="ListParagraph"/>
        <w:numPr>
          <w:ilvl w:val="0"/>
          <w:numId w:val="2"/>
        </w:numPr>
        <w:spacing w:after="120"/>
        <w:ind w:left="357" w:hanging="357"/>
        <w:rPr>
          <w:rFonts w:asciiTheme="majorHAnsi" w:hAnsiTheme="majorHAnsi"/>
        </w:rPr>
      </w:pPr>
      <w:r w:rsidRPr="002501A7">
        <w:rPr>
          <w:rFonts w:asciiTheme="majorHAnsi" w:hAnsiTheme="majorHAnsi"/>
        </w:rPr>
        <w:t xml:space="preserve">The </w:t>
      </w:r>
      <w:r w:rsidR="00833D21" w:rsidRPr="002501A7">
        <w:rPr>
          <w:rFonts w:asciiTheme="majorHAnsi" w:hAnsiTheme="majorHAnsi"/>
          <w:i/>
        </w:rPr>
        <w:t>Victorian Sentinel Prac</w:t>
      </w:r>
      <w:r w:rsidRPr="002501A7">
        <w:rPr>
          <w:rFonts w:asciiTheme="majorHAnsi" w:hAnsiTheme="majorHAnsi"/>
          <w:i/>
        </w:rPr>
        <w:t>tice Influenza Network (VicSPIN)</w:t>
      </w:r>
      <w:r w:rsidR="00833D21" w:rsidRPr="002501A7">
        <w:rPr>
          <w:rFonts w:asciiTheme="majorHAnsi" w:hAnsiTheme="majorHAnsi"/>
        </w:rPr>
        <w:t xml:space="preserve"> </w:t>
      </w:r>
      <w:r w:rsidRPr="002501A7">
        <w:rPr>
          <w:rFonts w:asciiTheme="majorHAnsi" w:hAnsiTheme="majorHAnsi"/>
        </w:rPr>
        <w:t xml:space="preserve">is a network of about </w:t>
      </w:r>
      <w:r w:rsidR="004C4FEA">
        <w:rPr>
          <w:rFonts w:asciiTheme="majorHAnsi" w:hAnsiTheme="majorHAnsi"/>
        </w:rPr>
        <w:t>8</w:t>
      </w:r>
      <w:r w:rsidRPr="002501A7">
        <w:rPr>
          <w:rFonts w:asciiTheme="majorHAnsi" w:hAnsiTheme="majorHAnsi"/>
        </w:rPr>
        <w:t xml:space="preserve">0 Victorian GPs who submit weekly reports about </w:t>
      </w:r>
      <w:r>
        <w:rPr>
          <w:rFonts w:asciiTheme="majorHAnsi" w:hAnsiTheme="majorHAnsi"/>
        </w:rPr>
        <w:t xml:space="preserve">the proportion of their </w:t>
      </w:r>
      <w:r w:rsidRPr="002501A7">
        <w:rPr>
          <w:rFonts w:asciiTheme="majorHAnsi" w:hAnsiTheme="majorHAnsi"/>
        </w:rPr>
        <w:t xml:space="preserve">patients with influenza-like illness (a clinical syndrome used as a proxy for influenza activity) </w:t>
      </w:r>
      <w:r w:rsidR="00833D21" w:rsidRPr="002501A7">
        <w:rPr>
          <w:rFonts w:asciiTheme="majorHAnsi" w:hAnsiTheme="majorHAnsi"/>
        </w:rPr>
        <w:t xml:space="preserve">and </w:t>
      </w:r>
      <w:r w:rsidRPr="002501A7">
        <w:rPr>
          <w:rFonts w:asciiTheme="majorHAnsi" w:hAnsiTheme="majorHAnsi"/>
        </w:rPr>
        <w:t>samples for testing.</w:t>
      </w:r>
    </w:p>
    <w:p w14:paraId="3BFF1082" w14:textId="77777777" w:rsidR="00013DA8" w:rsidRDefault="00013DA8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</w:p>
    <w:p w14:paraId="48823401" w14:textId="0AC4D3D4" w:rsidR="00C72B9C" w:rsidRPr="002031C5" w:rsidRDefault="002031C5" w:rsidP="00013DA8">
      <w:pPr>
        <w:rPr>
          <w:rFonts w:asciiTheme="majorHAnsi" w:hAnsiTheme="majorHAnsi" w:cs="Helvetica Neue"/>
          <w:b/>
          <w:color w:val="1A1A1A"/>
          <w:sz w:val="28"/>
          <w:szCs w:val="28"/>
        </w:rPr>
      </w:pPr>
      <w:r w:rsidRPr="002031C5">
        <w:rPr>
          <w:rFonts w:asciiTheme="majorHAnsi" w:hAnsiTheme="majorHAnsi" w:cs="Helvetica Neue"/>
          <w:b/>
          <w:color w:val="1A1A1A"/>
          <w:sz w:val="28"/>
          <w:szCs w:val="28"/>
        </w:rPr>
        <w:t>Further information</w:t>
      </w:r>
    </w:p>
    <w:p w14:paraId="0C94C93D" w14:textId="16118D45" w:rsidR="00013DA8" w:rsidRPr="002501A7" w:rsidRDefault="00013DA8" w:rsidP="00013DA8">
      <w:pPr>
        <w:rPr>
          <w:rFonts w:asciiTheme="majorHAnsi" w:hAnsiTheme="majorHAnsi"/>
        </w:rPr>
      </w:pPr>
      <w:r>
        <w:rPr>
          <w:rFonts w:asciiTheme="majorHAnsi" w:hAnsiTheme="majorHAnsi"/>
        </w:rPr>
        <w:t>More detailed analysis about the influenza season from VicSPIN, DHHS and other data sources is provided in the</w:t>
      </w:r>
      <w:r w:rsidR="003101AF">
        <w:rPr>
          <w:rFonts w:asciiTheme="majorHAnsi" w:hAnsiTheme="majorHAnsi"/>
        </w:rPr>
        <w:t xml:space="preserve"> </w:t>
      </w:r>
      <w:hyperlink r:id="rId11" w:history="1">
        <w:r w:rsidR="003101AF" w:rsidRPr="003101AF">
          <w:rPr>
            <w:rStyle w:val="Hyperlink"/>
            <w:rFonts w:asciiTheme="majorHAnsi" w:hAnsiTheme="majorHAnsi"/>
          </w:rPr>
          <w:t>Weekly influenza report</w:t>
        </w:r>
      </w:hyperlink>
      <w:r w:rsidR="003101AF">
        <w:rPr>
          <w:rFonts w:asciiTheme="majorHAnsi" w:hAnsiTheme="majorHAnsi"/>
        </w:rPr>
        <w:t>.</w:t>
      </w:r>
      <w:r w:rsidR="0080316E">
        <w:rPr>
          <w:rFonts w:asciiTheme="majorHAnsi" w:hAnsiTheme="majorHAnsi"/>
        </w:rPr>
        <w:t xml:space="preserve"> </w:t>
      </w:r>
      <w:r w:rsidRPr="00833D21">
        <w:rPr>
          <w:rFonts w:asciiTheme="majorHAnsi" w:hAnsiTheme="majorHAnsi" w:cs="Helvetica Neue"/>
          <w:color w:val="1A1A1A"/>
        </w:rPr>
        <w:t xml:space="preserve">For media enquiries, please contact </w:t>
      </w:r>
      <w:r>
        <w:rPr>
          <w:rFonts w:asciiTheme="majorHAnsi" w:hAnsiTheme="majorHAnsi" w:cs="Helvetica Neue"/>
          <w:color w:val="1A1A1A"/>
        </w:rPr>
        <w:t xml:space="preserve">the Doherty Institute’s </w:t>
      </w:r>
      <w:r w:rsidR="003432CB">
        <w:rPr>
          <w:rFonts w:asciiTheme="majorHAnsi" w:hAnsiTheme="majorHAnsi" w:cs="Helvetica Neue"/>
          <w:color w:val="1A1A1A"/>
        </w:rPr>
        <w:t>Media and Communications Advisor</w:t>
      </w:r>
      <w:r>
        <w:rPr>
          <w:rFonts w:asciiTheme="majorHAnsi" w:hAnsiTheme="majorHAnsi" w:cs="Helvetica Neue"/>
          <w:color w:val="1A1A1A"/>
        </w:rPr>
        <w:t xml:space="preserve">, </w:t>
      </w:r>
      <w:r w:rsidR="0059645E">
        <w:rPr>
          <w:rFonts w:asciiTheme="majorHAnsi" w:hAnsiTheme="majorHAnsi" w:cs="Helvetica Neue"/>
          <w:color w:val="1A1A1A"/>
        </w:rPr>
        <w:t>Liz Lopez</w:t>
      </w:r>
      <w:r>
        <w:rPr>
          <w:rFonts w:asciiTheme="majorHAnsi" w:hAnsiTheme="majorHAnsi" w:cs="Helvetica Neue"/>
          <w:color w:val="1A1A1A"/>
        </w:rPr>
        <w:t>,</w:t>
      </w:r>
      <w:r w:rsidRPr="00833D21">
        <w:rPr>
          <w:rFonts w:asciiTheme="majorHAnsi" w:hAnsiTheme="majorHAnsi" w:cs="Helvetica Neue"/>
          <w:color w:val="1A1A1A"/>
        </w:rPr>
        <w:t xml:space="preserve"> on </w:t>
      </w:r>
      <w:r>
        <w:rPr>
          <w:rFonts w:asciiTheme="majorHAnsi" w:hAnsiTheme="majorHAnsi" w:cs="Helvetica Neue"/>
          <w:color w:val="1A1A1A"/>
        </w:rPr>
        <w:t>(03) 8344 83</w:t>
      </w:r>
      <w:r w:rsidR="003432CB">
        <w:rPr>
          <w:rFonts w:asciiTheme="majorHAnsi" w:hAnsiTheme="majorHAnsi" w:cs="Helvetica Neue"/>
          <w:color w:val="1A1A1A"/>
        </w:rPr>
        <w:t>78</w:t>
      </w:r>
      <w:r>
        <w:rPr>
          <w:rFonts w:asciiTheme="majorHAnsi" w:hAnsiTheme="majorHAnsi" w:cs="Helvetica Neue"/>
          <w:color w:val="1A1A1A"/>
        </w:rPr>
        <w:t xml:space="preserve"> or </w:t>
      </w:r>
      <w:hyperlink r:id="rId12" w:history="1">
        <w:r w:rsidR="0059645E" w:rsidRPr="004F6ABE">
          <w:rPr>
            <w:rStyle w:val="Hyperlink"/>
            <w:rFonts w:asciiTheme="majorHAnsi" w:hAnsiTheme="majorHAnsi" w:cs="Helvetica Neue"/>
          </w:rPr>
          <w:t>lopez.e@unimelb.edu.au</w:t>
        </w:r>
      </w:hyperlink>
      <w:r w:rsidR="0080316E">
        <w:rPr>
          <w:rFonts w:asciiTheme="majorHAnsi" w:hAnsiTheme="majorHAnsi" w:cs="Helvetica Neue"/>
          <w:color w:val="1A1A1A"/>
        </w:rPr>
        <w:t xml:space="preserve"> or</w:t>
      </w:r>
      <w:r>
        <w:rPr>
          <w:rFonts w:asciiTheme="majorHAnsi" w:hAnsiTheme="majorHAnsi" w:cs="Helvetica Neue"/>
          <w:color w:val="1A1A1A"/>
        </w:rPr>
        <w:t xml:space="preserve"> DHHS media on (03) </w:t>
      </w:r>
      <w:r w:rsidRPr="00EB5C28">
        <w:rPr>
          <w:rFonts w:ascii="Calibri" w:hAnsi="Calibri" w:cs="Calibri"/>
        </w:rPr>
        <w:t>9096 8840</w:t>
      </w:r>
      <w:r>
        <w:rPr>
          <w:rFonts w:ascii="Calibri" w:hAnsi="Calibri" w:cs="Calibri"/>
        </w:rPr>
        <w:t>.</w:t>
      </w:r>
    </w:p>
    <w:p w14:paraId="2FBFF8E0" w14:textId="7BF54CEB" w:rsidR="00C25DCC" w:rsidRPr="002501A7" w:rsidRDefault="00C25DCC" w:rsidP="00013DA8">
      <w:pPr>
        <w:rPr>
          <w:rFonts w:asciiTheme="majorHAnsi" w:hAnsiTheme="majorHAnsi" w:cs="Helvetica Neue"/>
          <w:color w:val="1A1A1A"/>
        </w:rPr>
      </w:pPr>
    </w:p>
    <w:sectPr w:rsidR="00C25DCC" w:rsidRPr="002501A7" w:rsidSect="00293D4F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4C6911"/>
    <w:multiLevelType w:val="hybridMultilevel"/>
    <w:tmpl w:val="FAD2E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BC3B98"/>
    <w:multiLevelType w:val="hybridMultilevel"/>
    <w:tmpl w:val="CBBEE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12"/>
    <w:rsid w:val="00013DA8"/>
    <w:rsid w:val="00036610"/>
    <w:rsid w:val="00042B7E"/>
    <w:rsid w:val="0005328D"/>
    <w:rsid w:val="000660FF"/>
    <w:rsid w:val="000C07A2"/>
    <w:rsid w:val="000E2DF0"/>
    <w:rsid w:val="00176448"/>
    <w:rsid w:val="001A42C2"/>
    <w:rsid w:val="001A63B0"/>
    <w:rsid w:val="002031C5"/>
    <w:rsid w:val="002155EE"/>
    <w:rsid w:val="002501A7"/>
    <w:rsid w:val="00266C45"/>
    <w:rsid w:val="00293D4F"/>
    <w:rsid w:val="00295980"/>
    <w:rsid w:val="00303C90"/>
    <w:rsid w:val="003101AF"/>
    <w:rsid w:val="0033727E"/>
    <w:rsid w:val="003432CB"/>
    <w:rsid w:val="00377607"/>
    <w:rsid w:val="00381B74"/>
    <w:rsid w:val="00387814"/>
    <w:rsid w:val="003A2D2D"/>
    <w:rsid w:val="003B3B02"/>
    <w:rsid w:val="003B4B8F"/>
    <w:rsid w:val="003D3898"/>
    <w:rsid w:val="003E0ACE"/>
    <w:rsid w:val="0042144B"/>
    <w:rsid w:val="00437E27"/>
    <w:rsid w:val="004A33C2"/>
    <w:rsid w:val="004C4FEA"/>
    <w:rsid w:val="004E0E03"/>
    <w:rsid w:val="004F34B1"/>
    <w:rsid w:val="004F69FD"/>
    <w:rsid w:val="00507A5C"/>
    <w:rsid w:val="00526814"/>
    <w:rsid w:val="005327B0"/>
    <w:rsid w:val="0054168A"/>
    <w:rsid w:val="0059645E"/>
    <w:rsid w:val="005A5924"/>
    <w:rsid w:val="005A7220"/>
    <w:rsid w:val="005C2F4E"/>
    <w:rsid w:val="005D4344"/>
    <w:rsid w:val="005D75C1"/>
    <w:rsid w:val="005E093D"/>
    <w:rsid w:val="00647A00"/>
    <w:rsid w:val="00672620"/>
    <w:rsid w:val="00675898"/>
    <w:rsid w:val="00692D78"/>
    <w:rsid w:val="006C6B81"/>
    <w:rsid w:val="00750A03"/>
    <w:rsid w:val="00751B26"/>
    <w:rsid w:val="0077026A"/>
    <w:rsid w:val="007E2E0E"/>
    <w:rsid w:val="0080316E"/>
    <w:rsid w:val="00833D21"/>
    <w:rsid w:val="008442DB"/>
    <w:rsid w:val="00862E6D"/>
    <w:rsid w:val="008705AE"/>
    <w:rsid w:val="00875FD8"/>
    <w:rsid w:val="00890E29"/>
    <w:rsid w:val="008B278A"/>
    <w:rsid w:val="008B4C08"/>
    <w:rsid w:val="009535BE"/>
    <w:rsid w:val="009700B7"/>
    <w:rsid w:val="00975BE0"/>
    <w:rsid w:val="009A0700"/>
    <w:rsid w:val="009B0632"/>
    <w:rsid w:val="009B2A8C"/>
    <w:rsid w:val="009E2411"/>
    <w:rsid w:val="009F1D12"/>
    <w:rsid w:val="00A0106F"/>
    <w:rsid w:val="00A12E01"/>
    <w:rsid w:val="00A12EB8"/>
    <w:rsid w:val="00A553A5"/>
    <w:rsid w:val="00A60B25"/>
    <w:rsid w:val="00A73F94"/>
    <w:rsid w:val="00AC086B"/>
    <w:rsid w:val="00B0281A"/>
    <w:rsid w:val="00B04960"/>
    <w:rsid w:val="00C05CA5"/>
    <w:rsid w:val="00C20911"/>
    <w:rsid w:val="00C25DCC"/>
    <w:rsid w:val="00C522CB"/>
    <w:rsid w:val="00C65BDE"/>
    <w:rsid w:val="00C72B9C"/>
    <w:rsid w:val="00C85CA6"/>
    <w:rsid w:val="00CB3CEC"/>
    <w:rsid w:val="00CE5006"/>
    <w:rsid w:val="00CF3619"/>
    <w:rsid w:val="00CF46ED"/>
    <w:rsid w:val="00D4137D"/>
    <w:rsid w:val="00D440C2"/>
    <w:rsid w:val="00D44BEE"/>
    <w:rsid w:val="00D57503"/>
    <w:rsid w:val="00D751F9"/>
    <w:rsid w:val="00D9476F"/>
    <w:rsid w:val="00DC2712"/>
    <w:rsid w:val="00DE2D3A"/>
    <w:rsid w:val="00E55F92"/>
    <w:rsid w:val="00EC3784"/>
    <w:rsid w:val="00EC3BE3"/>
    <w:rsid w:val="00ED0CE8"/>
    <w:rsid w:val="00ED431D"/>
    <w:rsid w:val="00EE3322"/>
    <w:rsid w:val="00F07446"/>
    <w:rsid w:val="00F7026D"/>
    <w:rsid w:val="00F90C93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C4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E2E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E0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E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E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E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0E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9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0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D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0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idrl.org.au/surveillance/influenza-surveillance/" TargetMode="External"/><Relationship Id="rId12" Type="http://schemas.openxmlformats.org/officeDocument/2006/relationships/hyperlink" Target="mailto:lopez.e@unimelb.edu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jpg"/><Relationship Id="rId10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7084019440536"/>
          <c:y val="0.0383938569828827"/>
          <c:w val="0.792774053287212"/>
          <c:h val="0.723777864832965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Sheet1!$C$1</c:f>
              <c:strCache>
                <c:ptCount val="1"/>
                <c:pt idx="0">
                  <c:v>2017 influenza cases</c:v>
                </c:pt>
              </c:strCache>
            </c:strRef>
          </c:tx>
          <c:spPr>
            <a:solidFill>
              <a:srgbClr val="008000"/>
            </a:solidFill>
            <a:ln>
              <a:noFill/>
            </a:ln>
          </c:spPr>
          <c:invertIfNegative val="0"/>
          <c:cat>
            <c:strRef>
              <c:f>Table13[Week number]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Sheet1!$C$2:$C$53</c:f>
              <c:numCache>
                <c:formatCode>#,##0</c:formatCode>
                <c:ptCount val="52"/>
                <c:pt idx="0">
                  <c:v>143.0</c:v>
                </c:pt>
                <c:pt idx="1">
                  <c:v>125.0</c:v>
                </c:pt>
                <c:pt idx="2">
                  <c:v>88.0</c:v>
                </c:pt>
                <c:pt idx="3">
                  <c:v>90.0</c:v>
                </c:pt>
                <c:pt idx="4">
                  <c:v>77.0</c:v>
                </c:pt>
                <c:pt idx="5">
                  <c:v>82.0</c:v>
                </c:pt>
                <c:pt idx="6">
                  <c:v>77.0</c:v>
                </c:pt>
                <c:pt idx="7">
                  <c:v>59.0</c:v>
                </c:pt>
                <c:pt idx="8">
                  <c:v>78.0</c:v>
                </c:pt>
                <c:pt idx="9">
                  <c:v>96.0</c:v>
                </c:pt>
                <c:pt idx="10">
                  <c:v>63.0</c:v>
                </c:pt>
                <c:pt idx="11">
                  <c:v>65.0</c:v>
                </c:pt>
                <c:pt idx="12">
                  <c:v>62.0</c:v>
                </c:pt>
                <c:pt idx="13">
                  <c:v>63.0</c:v>
                </c:pt>
                <c:pt idx="14">
                  <c:v>86.0</c:v>
                </c:pt>
                <c:pt idx="15">
                  <c:v>91.0</c:v>
                </c:pt>
                <c:pt idx="16">
                  <c:v>44.0</c:v>
                </c:pt>
                <c:pt idx="17">
                  <c:v>85.0</c:v>
                </c:pt>
                <c:pt idx="18">
                  <c:v>100.0</c:v>
                </c:pt>
                <c:pt idx="19">
                  <c:v>106.0</c:v>
                </c:pt>
                <c:pt idx="20">
                  <c:v>118.0</c:v>
                </c:pt>
                <c:pt idx="21">
                  <c:v>124.0</c:v>
                </c:pt>
                <c:pt idx="22">
                  <c:v>140.0</c:v>
                </c:pt>
                <c:pt idx="23">
                  <c:v>180.0</c:v>
                </c:pt>
                <c:pt idx="24">
                  <c:v>281.0</c:v>
                </c:pt>
                <c:pt idx="25">
                  <c:v>429.0</c:v>
                </c:pt>
                <c:pt idx="26">
                  <c:v>598.0</c:v>
                </c:pt>
                <c:pt idx="27">
                  <c:v>859.0</c:v>
                </c:pt>
                <c:pt idx="28">
                  <c:v>1035.0</c:v>
                </c:pt>
                <c:pt idx="29">
                  <c:v>1568.0</c:v>
                </c:pt>
                <c:pt idx="30">
                  <c:v>650.0</c:v>
                </c:pt>
              </c:numCache>
            </c:numRef>
          </c:val>
        </c:ser>
        <c:ser>
          <c:idx val="0"/>
          <c:order val="1"/>
          <c:tx>
            <c:strRef>
              <c:f>Sheet1!$B$1</c:f>
              <c:strCache>
                <c:ptCount val="1"/>
                <c:pt idx="0">
                  <c:v>2016 influenza cases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3175">
              <a:noFill/>
            </a:ln>
            <a:effectLst/>
          </c:spPr>
          <c:invertIfNegative val="0"/>
          <c:cat>
            <c:strRef>
              <c:f>Table13[Week number]</c:f>
              <c:strCache>
                <c:ptCount val="52"/>
                <c:pt idx="0">
                  <c:v>8 Jan</c:v>
                </c:pt>
                <c:pt idx="1">
                  <c:v>15 Jan</c:v>
                </c:pt>
                <c:pt idx="2">
                  <c:v>22 Jan</c:v>
                </c:pt>
                <c:pt idx="3">
                  <c:v>29 Jan</c:v>
                </c:pt>
                <c:pt idx="4">
                  <c:v>5 Feb</c:v>
                </c:pt>
                <c:pt idx="5">
                  <c:v>12 Feb</c:v>
                </c:pt>
                <c:pt idx="6">
                  <c:v>19 Feb</c:v>
                </c:pt>
                <c:pt idx="7">
                  <c:v>26 Feb</c:v>
                </c:pt>
                <c:pt idx="8">
                  <c:v>5 Mar</c:v>
                </c:pt>
                <c:pt idx="9">
                  <c:v>12 Mar</c:v>
                </c:pt>
                <c:pt idx="10">
                  <c:v>19 Mar</c:v>
                </c:pt>
                <c:pt idx="11">
                  <c:v>26 Mar</c:v>
                </c:pt>
                <c:pt idx="12">
                  <c:v>2 Apr</c:v>
                </c:pt>
                <c:pt idx="13">
                  <c:v>9 Apr</c:v>
                </c:pt>
                <c:pt idx="14">
                  <c:v>16 Apr</c:v>
                </c:pt>
                <c:pt idx="15">
                  <c:v>23 Apr</c:v>
                </c:pt>
                <c:pt idx="16">
                  <c:v>30 Apr</c:v>
                </c:pt>
                <c:pt idx="17">
                  <c:v>7 May</c:v>
                </c:pt>
                <c:pt idx="18">
                  <c:v>14 May</c:v>
                </c:pt>
                <c:pt idx="19">
                  <c:v>21 May</c:v>
                </c:pt>
                <c:pt idx="20">
                  <c:v>28 May</c:v>
                </c:pt>
                <c:pt idx="21">
                  <c:v>4 Jun</c:v>
                </c:pt>
                <c:pt idx="22">
                  <c:v>11 Jun</c:v>
                </c:pt>
                <c:pt idx="23">
                  <c:v>18 Jun</c:v>
                </c:pt>
                <c:pt idx="24">
                  <c:v>25 Jun</c:v>
                </c:pt>
                <c:pt idx="25">
                  <c:v>2 Jul</c:v>
                </c:pt>
                <c:pt idx="26">
                  <c:v>9 Jul</c:v>
                </c:pt>
                <c:pt idx="27">
                  <c:v>16 Jul</c:v>
                </c:pt>
                <c:pt idx="28">
                  <c:v>23 Jul</c:v>
                </c:pt>
                <c:pt idx="29">
                  <c:v>30 Jul</c:v>
                </c:pt>
                <c:pt idx="30">
                  <c:v>6 Aug</c:v>
                </c:pt>
                <c:pt idx="31">
                  <c:v>13 Aug</c:v>
                </c:pt>
                <c:pt idx="32">
                  <c:v>20 Aug</c:v>
                </c:pt>
                <c:pt idx="33">
                  <c:v>27 Aug</c:v>
                </c:pt>
                <c:pt idx="34">
                  <c:v>3 Sep</c:v>
                </c:pt>
                <c:pt idx="35">
                  <c:v>10 Sep</c:v>
                </c:pt>
                <c:pt idx="36">
                  <c:v>17 Sep</c:v>
                </c:pt>
                <c:pt idx="37">
                  <c:v>24 Sep</c:v>
                </c:pt>
                <c:pt idx="38">
                  <c:v>1 Oct</c:v>
                </c:pt>
                <c:pt idx="39">
                  <c:v>8 Oct</c:v>
                </c:pt>
                <c:pt idx="40">
                  <c:v>15 Oct</c:v>
                </c:pt>
                <c:pt idx="41">
                  <c:v>22 Oct</c:v>
                </c:pt>
                <c:pt idx="42">
                  <c:v>29 Oct</c:v>
                </c:pt>
                <c:pt idx="43">
                  <c:v>5 Nov</c:v>
                </c:pt>
                <c:pt idx="44">
                  <c:v>12 Nov</c:v>
                </c:pt>
                <c:pt idx="45">
                  <c:v>19 Nov</c:v>
                </c:pt>
                <c:pt idx="46">
                  <c:v>26 Nov</c:v>
                </c:pt>
                <c:pt idx="47">
                  <c:v>3 Dec</c:v>
                </c:pt>
                <c:pt idx="48">
                  <c:v>10 Dec</c:v>
                </c:pt>
                <c:pt idx="49">
                  <c:v>17 Dec</c:v>
                </c:pt>
                <c:pt idx="50">
                  <c:v>24 Dec</c:v>
                </c:pt>
                <c:pt idx="51">
                  <c:v>30 Dec</c:v>
                </c:pt>
              </c:strCache>
            </c:strRef>
          </c:cat>
          <c:val>
            <c:numRef>
              <c:f>Sheet1!$B$2:$B$53</c:f>
              <c:numCache>
                <c:formatCode>#,##0</c:formatCode>
                <c:ptCount val="52"/>
                <c:pt idx="0">
                  <c:v>33.0</c:v>
                </c:pt>
                <c:pt idx="1">
                  <c:v>36.0</c:v>
                </c:pt>
                <c:pt idx="2">
                  <c:v>24.0</c:v>
                </c:pt>
                <c:pt idx="3">
                  <c:v>33.0</c:v>
                </c:pt>
                <c:pt idx="4">
                  <c:v>41.0</c:v>
                </c:pt>
                <c:pt idx="5">
                  <c:v>47.0</c:v>
                </c:pt>
                <c:pt idx="6">
                  <c:v>44.0</c:v>
                </c:pt>
                <c:pt idx="7">
                  <c:v>37.0</c:v>
                </c:pt>
                <c:pt idx="8">
                  <c:v>60.0</c:v>
                </c:pt>
                <c:pt idx="9">
                  <c:v>75.0</c:v>
                </c:pt>
                <c:pt idx="10">
                  <c:v>66.0</c:v>
                </c:pt>
                <c:pt idx="11">
                  <c:v>73.0</c:v>
                </c:pt>
                <c:pt idx="12">
                  <c:v>70.0</c:v>
                </c:pt>
                <c:pt idx="13">
                  <c:v>69.0</c:v>
                </c:pt>
                <c:pt idx="14">
                  <c:v>125.0</c:v>
                </c:pt>
                <c:pt idx="15">
                  <c:v>112.0</c:v>
                </c:pt>
                <c:pt idx="16">
                  <c:v>66.0</c:v>
                </c:pt>
                <c:pt idx="17">
                  <c:v>74.0</c:v>
                </c:pt>
                <c:pt idx="18">
                  <c:v>86.0</c:v>
                </c:pt>
                <c:pt idx="19">
                  <c:v>63.0</c:v>
                </c:pt>
                <c:pt idx="20">
                  <c:v>54.0</c:v>
                </c:pt>
                <c:pt idx="21">
                  <c:v>48.0</c:v>
                </c:pt>
                <c:pt idx="22">
                  <c:v>72.0</c:v>
                </c:pt>
                <c:pt idx="23">
                  <c:v>63.0</c:v>
                </c:pt>
                <c:pt idx="24">
                  <c:v>109.0</c:v>
                </c:pt>
                <c:pt idx="25">
                  <c:v>114.0</c:v>
                </c:pt>
                <c:pt idx="26">
                  <c:v>132.0</c:v>
                </c:pt>
                <c:pt idx="27">
                  <c:v>132.0</c:v>
                </c:pt>
                <c:pt idx="28">
                  <c:v>196.0</c:v>
                </c:pt>
                <c:pt idx="29">
                  <c:v>337.0</c:v>
                </c:pt>
                <c:pt idx="30">
                  <c:v>336.0</c:v>
                </c:pt>
                <c:pt idx="31">
                  <c:v>500.0</c:v>
                </c:pt>
                <c:pt idx="32">
                  <c:v>719.0</c:v>
                </c:pt>
                <c:pt idx="33">
                  <c:v>775.0</c:v>
                </c:pt>
                <c:pt idx="34">
                  <c:v>849.0</c:v>
                </c:pt>
                <c:pt idx="35">
                  <c:v>1384.0</c:v>
                </c:pt>
                <c:pt idx="36">
                  <c:v>953.0</c:v>
                </c:pt>
                <c:pt idx="37">
                  <c:v>779.0</c:v>
                </c:pt>
                <c:pt idx="38">
                  <c:v>506.0</c:v>
                </c:pt>
                <c:pt idx="39">
                  <c:v>567.0</c:v>
                </c:pt>
                <c:pt idx="40">
                  <c:v>370.0</c:v>
                </c:pt>
                <c:pt idx="41">
                  <c:v>282.0</c:v>
                </c:pt>
                <c:pt idx="42">
                  <c:v>314.0</c:v>
                </c:pt>
                <c:pt idx="43">
                  <c:v>235.0</c:v>
                </c:pt>
                <c:pt idx="44">
                  <c:v>228.0</c:v>
                </c:pt>
                <c:pt idx="45">
                  <c:v>140.0</c:v>
                </c:pt>
                <c:pt idx="46">
                  <c:v>135.0</c:v>
                </c:pt>
                <c:pt idx="47">
                  <c:v>86.0</c:v>
                </c:pt>
                <c:pt idx="48">
                  <c:v>87.0</c:v>
                </c:pt>
                <c:pt idx="49">
                  <c:v>101.0</c:v>
                </c:pt>
                <c:pt idx="50">
                  <c:v>108.0</c:v>
                </c:pt>
                <c:pt idx="51">
                  <c:v>61.0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2128858472"/>
        <c:axId val="2128720136"/>
      </c:barChart>
      <c:lineChart>
        <c:grouping val="standard"/>
        <c:varyColors val="0"/>
        <c:ser>
          <c:idx val="3"/>
          <c:order val="2"/>
          <c:tx>
            <c:strRef>
              <c:f>Sheet1!$D$1</c:f>
              <c:strCache>
                <c:ptCount val="1"/>
                <c:pt idx="0">
                  <c:v>2016 influenza-like illness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Sheet1!$D$2:$D$53</c:f>
              <c:numCache>
                <c:formatCode>General</c:formatCode>
                <c:ptCount val="52"/>
                <c:pt idx="17" formatCode="0.0">
                  <c:v>0.79</c:v>
                </c:pt>
                <c:pt idx="18" formatCode="0.0">
                  <c:v>2.3</c:v>
                </c:pt>
                <c:pt idx="19" formatCode="0.0">
                  <c:v>3.72</c:v>
                </c:pt>
                <c:pt idx="20" formatCode="0.0">
                  <c:v>3.2</c:v>
                </c:pt>
                <c:pt idx="21" formatCode="0.0">
                  <c:v>4.4</c:v>
                </c:pt>
                <c:pt idx="22" formatCode="0.0">
                  <c:v>2.9</c:v>
                </c:pt>
                <c:pt idx="23" formatCode="0.0">
                  <c:v>4.8</c:v>
                </c:pt>
                <c:pt idx="24" formatCode="0.0">
                  <c:v>3.4</c:v>
                </c:pt>
                <c:pt idx="25">
                  <c:v>4.3</c:v>
                </c:pt>
                <c:pt idx="26">
                  <c:v>4.5</c:v>
                </c:pt>
                <c:pt idx="27">
                  <c:v>4.6</c:v>
                </c:pt>
                <c:pt idx="28">
                  <c:v>4.6</c:v>
                </c:pt>
                <c:pt idx="29">
                  <c:v>3.3</c:v>
                </c:pt>
                <c:pt idx="30">
                  <c:v>8.1</c:v>
                </c:pt>
                <c:pt idx="31">
                  <c:v>5.7</c:v>
                </c:pt>
                <c:pt idx="32">
                  <c:v>5.0</c:v>
                </c:pt>
                <c:pt idx="33">
                  <c:v>5.5</c:v>
                </c:pt>
                <c:pt idx="34">
                  <c:v>4.7</c:v>
                </c:pt>
                <c:pt idx="35">
                  <c:v>5.3</c:v>
                </c:pt>
                <c:pt idx="36">
                  <c:v>5.1</c:v>
                </c:pt>
                <c:pt idx="37">
                  <c:v>3.1</c:v>
                </c:pt>
                <c:pt idx="38">
                  <c:v>1.0</c:v>
                </c:pt>
                <c:pt idx="39">
                  <c:v>2.4</c:v>
                </c:pt>
                <c:pt idx="40">
                  <c:v>2.3</c:v>
                </c:pt>
                <c:pt idx="41">
                  <c:v>1.0</c:v>
                </c:pt>
                <c:pt idx="42">
                  <c:v>0.9</c:v>
                </c:pt>
              </c:numCache>
            </c:numRef>
          </c:val>
          <c:smooth val="0"/>
        </c:ser>
        <c:ser>
          <c:idx val="1"/>
          <c:order val="3"/>
          <c:tx>
            <c:strRef>
              <c:f>Table13[[#Headers],[2017 influenza-like illness]]</c:f>
              <c:strCache>
                <c:ptCount val="1"/>
                <c:pt idx="0">
                  <c:v>2017 influenza-like illness</c:v>
                </c:pt>
              </c:strCache>
            </c:strRef>
          </c:tx>
          <c:spPr>
            <a:ln w="12700">
              <a:solidFill>
                <a:srgbClr val="9620A5"/>
              </a:solidFill>
              <a:prstDash val="solid"/>
            </a:ln>
          </c:spPr>
          <c:marker>
            <c:symbol val="none"/>
          </c:marker>
          <c:cat>
            <c:multiLvlStrRef>
              <c:f>Sheet1!#REF!</c:f>
            </c:multiLvlStrRef>
          </c:cat>
          <c:val>
            <c:numRef>
              <c:f>Table13[2017 influenza-like illness]</c:f>
              <c:numCache>
                <c:formatCode>General</c:formatCode>
                <c:ptCount val="52"/>
                <c:pt idx="17">
                  <c:v>1.9</c:v>
                </c:pt>
                <c:pt idx="18">
                  <c:v>3.3</c:v>
                </c:pt>
                <c:pt idx="19">
                  <c:v>3.7</c:v>
                </c:pt>
                <c:pt idx="20">
                  <c:v>4.9</c:v>
                </c:pt>
                <c:pt idx="21">
                  <c:v>6.2</c:v>
                </c:pt>
                <c:pt idx="22">
                  <c:v>4.7</c:v>
                </c:pt>
                <c:pt idx="23">
                  <c:v>2.4</c:v>
                </c:pt>
                <c:pt idx="24">
                  <c:v>6.8</c:v>
                </c:pt>
                <c:pt idx="25">
                  <c:v>5.5</c:v>
                </c:pt>
                <c:pt idx="26">
                  <c:v>6.8</c:v>
                </c:pt>
                <c:pt idx="27">
                  <c:v>7.0</c:v>
                </c:pt>
                <c:pt idx="28">
                  <c:v>7.8</c:v>
                </c:pt>
                <c:pt idx="29">
                  <c:v>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34755656"/>
        <c:axId val="2133916808"/>
      </c:lineChart>
      <c:catAx>
        <c:axId val="21288584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1" i="0"/>
                </a:pPr>
                <a:r>
                  <a:rPr lang="en-US" sz="1200" b="1" i="0">
                    <a:latin typeface="+mj-lt"/>
                  </a:rPr>
                  <a:t>Week</a:t>
                </a:r>
                <a:r>
                  <a:rPr lang="en-US" sz="1200" b="1" i="0" baseline="0">
                    <a:latin typeface="+mj-lt"/>
                  </a:rPr>
                  <a:t> ending</a:t>
                </a:r>
                <a:endParaRPr lang="en-US" sz="1200" b="1" i="0">
                  <a:latin typeface="+mj-lt"/>
                </a:endParaRPr>
              </a:p>
            </c:rich>
          </c:tx>
          <c:layout>
            <c:manualLayout>
              <c:xMode val="edge"/>
              <c:yMode val="edge"/>
              <c:x val="0.472494989018446"/>
              <c:y val="0.91361382178851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5400000" vert="horz" anchor="ctr" anchorCtr="1"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12872013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12872013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200">
                    <a:latin typeface="+mj-lt"/>
                  </a:defRPr>
                </a:pPr>
                <a:r>
                  <a:rPr lang="en-US" sz="1200">
                    <a:latin typeface="+mj-lt"/>
                  </a:rPr>
                  <a:t>Number of notified cases</a:t>
                </a:r>
              </a:p>
            </c:rich>
          </c:tx>
          <c:layout/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128858472"/>
        <c:crosses val="autoZero"/>
        <c:crossBetween val="between"/>
      </c:valAx>
      <c:valAx>
        <c:axId val="2133916808"/>
        <c:scaling>
          <c:orientation val="minMax"/>
          <c:max val="30.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>
                    <a:latin typeface="+mj-lt"/>
                  </a:rPr>
                  <a:t>ILI patients per 1,000 consultations</a:t>
                </a:r>
              </a:p>
            </c:rich>
          </c:tx>
          <c:layout>
            <c:manualLayout>
              <c:xMode val="edge"/>
              <c:yMode val="edge"/>
              <c:x val="0.959430816979992"/>
              <c:y val="0.1776255011796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+mj-lt"/>
              </a:defRPr>
            </a:pPr>
            <a:endParaRPr lang="en-US"/>
          </a:p>
        </c:txPr>
        <c:crossAx val="2134755656"/>
        <c:crosses val="max"/>
        <c:crossBetween val="between"/>
      </c:valAx>
      <c:catAx>
        <c:axId val="21347556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133916808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128400116993273"/>
          <c:y val="0.0450155376714529"/>
          <c:w val="0.312957004972214"/>
          <c:h val="0.225530403324444"/>
        </c:manualLayout>
      </c:layout>
      <c:overlay val="0"/>
      <c:txPr>
        <a:bodyPr/>
        <a:lstStyle/>
        <a:p>
          <a:pPr>
            <a:defRPr sz="12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A8BDEF-5187-6F40-9205-9BA74766F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445</Words>
  <Characters>2543</Characters>
  <Application>Microsoft Macintosh Word</Application>
  <DocSecurity>0</DocSecurity>
  <Lines>21</Lines>
  <Paragraphs>5</Paragraphs>
  <ScaleCrop>false</ScaleCrop>
  <Company>VIDRL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K C</cp:lastModifiedBy>
  <cp:revision>9</cp:revision>
  <cp:lastPrinted>2016-09-09T05:16:00Z</cp:lastPrinted>
  <dcterms:created xsi:type="dcterms:W3CDTF">2017-08-11T04:00:00Z</dcterms:created>
  <dcterms:modified xsi:type="dcterms:W3CDTF">2017-08-11T04:53:00Z</dcterms:modified>
</cp:coreProperties>
</file>